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50"/>
        <w:gridCol w:w="6526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6106C4">
              <w:t>Animals Building Homes (Informational Text)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6106C4">
              <w:t>Whose Home Is This? (Informational Text)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6106C4">
            <w:r>
              <w:drawing>
                <wp:inline distT="0" distB="0" distL="0" distR="0">
                  <wp:extent cx="5934075" cy="39338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393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6106C4" w:rsidRDefault="006106C4">
            <w:r>
              <w:drawing>
                <wp:inline distT="0" distB="0" distL="0" distR="0">
                  <wp:extent cx="2533650" cy="723900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4DBE" w:rsidRDefault="006106C4">
            <w:r>
              <w:drawing>
                <wp:inline distT="0" distB="0" distL="0" distR="0">
                  <wp:extent cx="2514600" cy="1076325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06C4" w:rsidRDefault="006106C4">
            <w:r>
              <w:drawing>
                <wp:inline distT="0" distB="0" distL="0" distR="0">
                  <wp:extent cx="2505075" cy="942975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06C4" w:rsidRDefault="006106C4">
            <w:r>
              <w:drawing>
                <wp:inline distT="0" distB="0" distL="0" distR="0">
                  <wp:extent cx="2466975" cy="1066800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06C4" w:rsidRDefault="006106C4">
            <w:r>
              <w:drawing>
                <wp:inline distT="0" distB="0" distL="0" distR="0">
                  <wp:extent cx="2200275" cy="981075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>Essential Question</w:t>
            </w:r>
            <w:r w:rsidR="00D1228F">
              <w:t>s</w:t>
            </w:r>
            <w:r>
              <w:t xml:space="preserve">:  </w:t>
            </w:r>
            <w:r w:rsidR="006106C4">
              <w:t xml:space="preserve">What are animal homes like? Where do animals live? What do animals need?  </w:t>
            </w:r>
          </w:p>
          <w:p w:rsidR="00C47488" w:rsidRDefault="00C47488" w:rsidP="00D17518">
            <w:r>
              <w:t xml:space="preserve">Hook, Teacher Read Aloud: </w:t>
            </w:r>
            <w:r w:rsidR="006106C4">
              <w:t>City Life is for the Birds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6106C4">
            <w:r>
              <w:drawing>
                <wp:inline distT="0" distB="0" distL="0" distR="0">
                  <wp:extent cx="1323975" cy="4572000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57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371600" cy="452437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452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95425" cy="4467225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446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562100" cy="4467225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446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6106C4" w:rsidRDefault="006106C4">
            <w:r>
              <w:drawing>
                <wp:inline distT="0" distB="0" distL="0" distR="0">
                  <wp:extent cx="1514475" cy="4191000"/>
                  <wp:effectExtent l="19050" t="0" r="952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19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6106C4">
            <w:r>
              <w:drawing>
                <wp:inline distT="0" distB="0" distL="0" distR="0">
                  <wp:extent cx="5553075" cy="1276350"/>
                  <wp:effectExtent l="19050" t="0" r="9525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30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791997">
      <w:headerReference w:type="default" r:id="rId1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C5A" w:rsidRDefault="00F42C5A" w:rsidP="00AF5623">
      <w:r>
        <w:separator/>
      </w:r>
    </w:p>
  </w:endnote>
  <w:endnote w:type="continuationSeparator" w:id="0">
    <w:p w:rsidR="00F42C5A" w:rsidRDefault="00F42C5A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C5A" w:rsidRDefault="00F42C5A" w:rsidP="00AF5623">
      <w:r>
        <w:separator/>
      </w:r>
    </w:p>
  </w:footnote>
  <w:footnote w:type="continuationSeparator" w:id="0">
    <w:p w:rsidR="00F42C5A" w:rsidRDefault="00F42C5A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F9218B" w:rsidP="00AF5623">
    <w:pPr>
      <w:pStyle w:val="Header"/>
      <w:jc w:val="center"/>
    </w:pPr>
    <w:r>
      <w:t>Journeys Lesson 6</w:t>
    </w:r>
    <w:r w:rsidR="00251A46"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0A5FC6"/>
    <w:rsid w:val="00251A46"/>
    <w:rsid w:val="003B7A7B"/>
    <w:rsid w:val="004E4DBE"/>
    <w:rsid w:val="00551C47"/>
    <w:rsid w:val="005D7E8A"/>
    <w:rsid w:val="006106C4"/>
    <w:rsid w:val="00652843"/>
    <w:rsid w:val="00791997"/>
    <w:rsid w:val="0088655F"/>
    <w:rsid w:val="009004A7"/>
    <w:rsid w:val="00AF5623"/>
    <w:rsid w:val="00C129F2"/>
    <w:rsid w:val="00C40385"/>
    <w:rsid w:val="00C47488"/>
    <w:rsid w:val="00CD3785"/>
    <w:rsid w:val="00D1228F"/>
    <w:rsid w:val="00D17518"/>
    <w:rsid w:val="00F42C5A"/>
    <w:rsid w:val="00F628FE"/>
    <w:rsid w:val="00F92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91997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791997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791997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791997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5</cp:revision>
  <cp:lastPrinted>2013-09-05T20:39:00Z</cp:lastPrinted>
  <dcterms:created xsi:type="dcterms:W3CDTF">2013-09-05T17:38:00Z</dcterms:created>
  <dcterms:modified xsi:type="dcterms:W3CDTF">2013-09-05T20:39:00Z</dcterms:modified>
</cp:coreProperties>
</file>